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4" w:line="326" w:lineRule="auto"/>
        <w:ind w:right="737"/>
        <w:jc w:val="left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cs="仿宋"/>
          <w:b/>
          <w:bCs/>
          <w:sz w:val="44"/>
          <w:szCs w:val="44"/>
          <w:lang w:val="en-US" w:eastAsia="zh-CN"/>
        </w:rPr>
        <w:t>附件：</w:t>
      </w:r>
    </w:p>
    <w:p>
      <w:pPr>
        <w:pStyle w:val="2"/>
        <w:spacing w:before="74" w:line="326" w:lineRule="auto"/>
        <w:ind w:right="737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2024年考评员培训报名汇总表</w:t>
      </w:r>
    </w:p>
    <w:bookmarkEnd w:id="0"/>
    <w:tbl>
      <w:tblPr>
        <w:tblStyle w:val="3"/>
        <w:tblW w:w="15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00"/>
        <w:gridCol w:w="1536"/>
        <w:gridCol w:w="879"/>
        <w:gridCol w:w="1491"/>
        <w:gridCol w:w="991"/>
        <w:gridCol w:w="1188"/>
        <w:gridCol w:w="1188"/>
        <w:gridCol w:w="1494"/>
        <w:gridCol w:w="1616"/>
        <w:gridCol w:w="1035"/>
        <w:gridCol w:w="967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所学专业或工作方向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从业年限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所获职业资格证书（技能等级证书）或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申报考评职业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申报级别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申报协会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报名对接人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13645671111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安徽省物流协会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物流服务师（一级）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物流服务师、供应链管理师、快件处理员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高级考评员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安徽省物流协会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2C754D6C"/>
    <w:rsid w:val="2C7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59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2024-06-04T09:43:00Z</dcterms:created>
  <dc:creator>糖果屋里的妮</dc:creator>
  <cp:lastModifiedBy>糖果屋里的妮</cp:lastModifiedBy>
  <dcterms:modified xsi:type="dcterms:W3CDTF">2024-06-04T09:44:41Z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767DE55767064B109072AD59CAC04070_11</vt:lpwstr>
  </property>
</Properties>
</file>